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BLOHM SIMPLEX 7</w:t>
      </w:r>
    </w:p>
    <w:p>
      <w:pPr>
        <w:spacing w:after="480"/>
        <w:jc w:val="center"/>
      </w:pPr>
      <w:r>
        <w:rPr>
          <w:b/>
          <w:bCs/>
          <w:sz w:val="28"/>
          <w:szCs w:val="28"/>
        </w:rPr>
        <w:t xml:space="preserve">Smarowanie i Kasowanie Luzu Łożysk Wrzeciona</w:t>
      </w:r>
    </w:p>
    <w:sdt>
      <w:sdtPr>
        <w:alias w:val="Spis Treści"/>
      </w:sdtPr>
      <w:sdtContent>
        <w:p>
          <w:r>
            <w:fldChar w:fldCharType="begin" w:dirty="true"/>
            <w:instrText xml:space="preserve">TOC \h \o "1-3"</w:instrText>
            <w:fldChar w:fldCharType="separate"/>
          </w:r>
        </w:p>
        <w:p>
          <w:r>
            <w:fldChar w:fldCharType="end"/>
          </w:r>
        </w:p>
      </w:sdtContent>
    </w:sdt>
    <w:p>
      <w:r>
        <w:br w:type="page"/>
      </w:r>
    </w:p>
    <w:p>
      <w:pPr>
        <w:pStyle w:val="Heading1"/>
      </w:pPr>
      <w:r>
        <w:t xml:space="preserve">1. DANE TECHNICZNE BLOHM SIMPLEX 7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100"/>
          <w:left w:type="dxa" w:w="180"/>
          <w:bottom w:type="dxa" w:w="100"/>
          <w:right w:type="dxa" w:w="180"/>
        </w:tblCellMar>
      </w:tblPr>
      <w:tblGrid>
        <w:gridCol w:w="4680"/>
        <w:gridCol w:w="4680"/>
      </w:tblGrid>
      <w:tr>
        <w:trPr>
          <w:tblHeader/>
        </w:trPr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4E78" w:val="clear"/>
          </w:tcPr>
          <w:p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Parametr</w:t>
            </w:r>
          </w:p>
        </w:tc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4E78" w:val="clear"/>
          </w:tcPr>
          <w:p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Wartość</w:t>
            </w:r>
          </w:p>
        </w:tc>
      </w:tr>
      <w:tr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Długość szlifowania</w:t>
            </w:r>
          </w:p>
        </w:tc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700 mm</w:t>
            </w:r>
          </w:p>
        </w:tc>
      </w:tr>
      <w:tr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Szerokość szlifowania</w:t>
            </w:r>
          </w:p>
        </w:tc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350 mm</w:t>
            </w:r>
          </w:p>
        </w:tc>
      </w:tr>
      <w:tr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Prędkość wrzeciona</w:t>
            </w:r>
          </w:p>
        </w:tc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1400 / 2800 obr/min</w:t>
            </w:r>
          </w:p>
        </w:tc>
      </w:tr>
      <w:tr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Moc wrzeciona</w:t>
            </w:r>
          </w:p>
        </w:tc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5-8 kW</w:t>
            </w:r>
          </w:p>
        </w:tc>
      </w:tr>
      <w:tr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Średnica ściernicy</w:t>
            </w:r>
          </w:p>
        </w:tc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300 mm (maks), 165 mm (min)</w:t>
            </w:r>
          </w:p>
        </w:tc>
      </w:tr>
      <w:tr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Rok produkcji</w:t>
            </w:r>
          </w:p>
        </w:tc>
        <w:tc>
          <w:tcPr>
            <w:tcW w:type="dxa" w:w="468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Lata 60-te (typowo 1964-1970)</w:t>
            </w:r>
          </w:p>
        </w:tc>
      </w:tr>
    </w:tbl>
    <w:p>
      <w:pPr>
        <w:spacing w:before="240"/>
      </w:pPr>
    </w:p>
    <w:p>
      <w:pPr>
        <w:pStyle w:val="Heading1"/>
      </w:pPr>
      <w:r>
        <w:t xml:space="preserve">2. SYSTEM SMAROWANIA WRZECIONA</w:t>
      </w:r>
    </w:p>
    <w:p>
      <w:pPr>
        <w:pStyle w:val="Heading2"/>
      </w:pPr>
      <w:r>
        <w:t xml:space="preserve">2.1 Konstrukcja Wrzeciona</w:t>
      </w:r>
    </w:p>
    <w:p>
      <w:pPr>
        <w:spacing w:after="120"/>
      </w:pPr>
      <w:r>
        <w:t xml:space="preserve">Wrzeciono szlifierskie Blohm Simplex 7 wyposażone jest w łożyska skośne kulkowe (angular contact ball bearings) w układzie BACK-TO-BACK:</w:t>
      </w:r>
    </w:p>
    <w:p>
      <w:pPr>
        <w:pStyle w:val="ListParagraph"/>
        <w:numPr>
          <w:ilvl w:val="0"/>
          <w:numId w:val="2"/>
        </w:numPr>
      </w:pPr>
      <w:r>
        <w:t xml:space="preserve">Przednie łożyska (strona robocza): 2 łożyska w układzie back-to-back</w:t>
      </w:r>
    </w:p>
    <w:p>
      <w:pPr>
        <w:pStyle w:val="ListParagraph"/>
        <w:numPr>
          <w:ilvl w:val="0"/>
          <w:numId w:val="2"/>
        </w:numPr>
      </w:pPr>
      <w:r>
        <w:t xml:space="preserve">Tylne łożyska (strona napędowa): 2 łożyska w układzie back-to-back</w:t>
      </w:r>
    </w:p>
    <w:p>
      <w:pPr>
        <w:pStyle w:val="ListParagraph"/>
        <w:numPr>
          <w:ilvl w:val="0"/>
          <w:numId w:val="2"/>
        </w:numPr>
      </w:pPr>
      <w:r>
        <w:t xml:space="preserve">Układ sprężynowy (Belleville washers) do kompensacji rozszerzalności cieplnej</w:t>
      </w:r>
    </w:p>
    <w:p>
      <w:pPr>
        <w:pStyle w:val="ListParagraph"/>
        <w:numPr>
          <w:ilvl w:val="0"/>
          <w:numId w:val="2"/>
        </w:numPr>
      </w:pPr>
      <w:r>
        <w:t xml:space="preserve">Dystanse wewnętrzne i zewnętrzne między łożyskami</w:t>
      </w:r>
    </w:p>
    <w:p>
      <w:pPr>
        <w:spacing w:before="240"/>
      </w:pPr>
    </w:p>
    <w:p>
      <w:pPr>
        <w:pStyle w:val="Heading2"/>
      </w:pPr>
      <w:r>
        <w:t xml:space="preserve">2.2 Typ Smarowania</w:t>
      </w:r>
    </w:p>
    <w:p>
      <w:pPr>
        <w:spacing w:after="120"/>
      </w:pPr>
      <w:r>
        <w:t xml:space="preserve">Typowy dla szlifierek Blohm z lat 60-tych:</w:t>
      </w:r>
    </w:p>
    <w:p>
      <w:pPr>
        <w:pStyle w:val="Heading3"/>
      </w:pPr>
      <w:r>
        <w:t xml:space="preserve">A. Olejarki kroplowe (Tropföler)</w:t>
      </w:r>
    </w:p>
    <w:p>
      <w:pPr>
        <w:pStyle w:val="ListParagraph"/>
        <w:numPr>
          <w:ilvl w:val="0"/>
          <w:numId w:val="2"/>
        </w:numPr>
      </w:pPr>
      <w:r>
        <w:t xml:space="preserve">Lokalizacja: 2-4 olejarki na górze obudowy wrzeciona</w:t>
      </w:r>
    </w:p>
    <w:p>
      <w:pPr>
        <w:pStyle w:val="ListParagraph"/>
        <w:numPr>
          <w:ilvl w:val="0"/>
          <w:numId w:val="2"/>
        </w:numPr>
      </w:pPr>
      <w:r>
        <w:t xml:space="preserve">Przednie łożyska: 1-2 olejarki</w:t>
      </w:r>
    </w:p>
    <w:p>
      <w:pPr>
        <w:pStyle w:val="ListParagraph"/>
        <w:numPr>
          <w:ilvl w:val="0"/>
          <w:numId w:val="2"/>
        </w:numPr>
      </w:pPr>
      <w:r>
        <w:t xml:space="preserve">Tylne łożyska: 1-2 olejarki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Regulacja: 1-3 krople/minutę</w:t>
      </w:r>
    </w:p>
    <w:p>
      <w:pPr>
        <w:spacing w:before="180"/>
      </w:pPr>
    </w:p>
    <w:p>
      <w:pPr>
        <w:pStyle w:val="Heading3"/>
      </w:pPr>
      <w:r>
        <w:t xml:space="preserve">B. Alternatywnie: Smarowanie pierścieniowe</w:t>
      </w:r>
    </w:p>
    <w:p>
      <w:pPr>
        <w:pStyle w:val="ListParagraph"/>
        <w:numPr>
          <w:ilvl w:val="0"/>
          <w:numId w:val="2"/>
        </w:numPr>
      </w:pPr>
      <w:r>
        <w:t xml:space="preserve">Pierścienie smarujące w zbiorniku oleju</w:t>
      </w:r>
    </w:p>
    <w:p>
      <w:pPr>
        <w:pStyle w:val="ListParagraph"/>
        <w:numPr>
          <w:ilvl w:val="0"/>
          <w:numId w:val="2"/>
        </w:numPr>
      </w:pPr>
      <w:r>
        <w:t xml:space="preserve">Olej przenoszony przez rotację pierścieni</w:t>
      </w:r>
    </w:p>
    <w:p>
      <w:pPr>
        <w:pStyle w:val="ListParagraph"/>
        <w:numPr>
          <w:ilvl w:val="0"/>
          <w:numId w:val="2"/>
        </w:numPr>
      </w:pPr>
      <w:r>
        <w:t xml:space="preserve">Mniej typowe dla modelu Simplex 7</w:t>
      </w:r>
    </w:p>
    <w:p>
      <w:pPr>
        <w:spacing w:before="240"/>
      </w:pPr>
    </w:p>
    <w:p>
      <w:pPr>
        <w:pStyle w:val="Heading2"/>
      </w:pPr>
      <w:r>
        <w:t xml:space="preserve">2.3 Zalecany Olej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100"/>
          <w:left w:type="dxa" w:w="180"/>
          <w:bottom w:type="dxa" w:w="100"/>
          <w:right w:type="dxa" w:w="180"/>
        </w:tblCellMar>
      </w:tblPr>
      <w:tblGrid>
        <w:gridCol w:w="3120"/>
        <w:gridCol w:w="6240"/>
      </w:tblGrid>
      <w:tr>
        <w:trPr>
          <w:tblHeader/>
        </w:trPr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2E5C8A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Typ</w:t>
            </w:r>
          </w:p>
        </w:tc>
        <w:tc>
          <w:tcPr>
            <w:tcW w:type="dxa" w:w="62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2E5C8A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Przykłady produktów</w:t>
            </w:r>
          </w:p>
        </w:tc>
      </w:tr>
      <w:tr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rPr>
                <w:b/>
                <w:bCs/>
              </w:rPr>
              <w:t xml:space="preserve">ISO VG 68</w:t>
            </w:r>
          </w:p>
        </w:tc>
        <w:tc>
          <w:tcPr>
            <w:tcW w:type="dxa" w:w="62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Shell Tellus 68, Mobil DTE Light, BP Energol HLP 68</w:t>
            </w:r>
          </w:p>
        </w:tc>
      </w:tr>
      <w:tr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ISO VG 46</w:t>
            </w:r>
          </w:p>
        </w:tc>
        <w:tc>
          <w:tcPr>
            <w:tcW w:type="dxa" w:w="62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Alternatywa dla niższych obrotów</w:t>
            </w:r>
          </w:p>
        </w:tc>
      </w:tr>
      <w:tr>
        <w:tc>
          <w:tcPr>
            <w:tcW w:type="dxa" w:w="31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Temperatura pracy</w:t>
            </w:r>
          </w:p>
        </w:tc>
        <w:tc>
          <w:tcPr>
            <w:tcW w:type="dxa" w:w="62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40-60°C (normalna), max 70°C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3. KASOWANIE LUZU ŁOŻYSK</w:t>
      </w:r>
    </w:p>
    <w:p>
      <w:pPr>
        <w:pStyle w:val="Heading2"/>
      </w:pPr>
      <w:r>
        <w:t xml:space="preserve">3.1 Układ BACK-TO-BACK</w:t>
      </w:r>
    </w:p>
    <w:p>
      <w:pPr>
        <w:spacing w:after="120"/>
      </w:pPr>
      <w:r>
        <w:t xml:space="preserve">Łożyska skośne kulkowe montowane są w układzie BACK-TO-BACK (grzbiet do grzbietu), który zapewnia:</w:t>
      </w:r>
    </w:p>
    <w:p>
      <w:pPr>
        <w:pStyle w:val="ListParagraph"/>
        <w:numPr>
          <w:ilvl w:val="0"/>
          <w:numId w:val="3"/>
        </w:numPr>
      </w:pPr>
      <w:r>
        <w:t xml:space="preserve">Maksymalną sztywność momentową</w:t>
      </w:r>
    </w:p>
    <w:p>
      <w:pPr>
        <w:pStyle w:val="ListParagraph"/>
        <w:numPr>
          <w:ilvl w:val="0"/>
          <w:numId w:val="3"/>
        </w:numPr>
      </w:pPr>
      <w:r>
        <w:t xml:space="preserve">Największą odległość między centrami obciążenia</w:t>
      </w:r>
    </w:p>
    <w:p>
      <w:pPr>
        <w:pStyle w:val="ListParagraph"/>
        <w:numPr>
          <w:ilvl w:val="0"/>
          <w:numId w:val="3"/>
        </w:numPr>
      </w:pPr>
      <w:r>
        <w:t xml:space="preserve">Przyjmowanie obciążeń osiowych w obu kierunkach</w:t>
      </w:r>
    </w:p>
    <w:p>
      <w:pPr>
        <w:pStyle w:val="ListParagraph"/>
        <w:numPr>
          <w:ilvl w:val="0"/>
          <w:numId w:val="3"/>
        </w:numPr>
      </w:pPr>
      <w:r>
        <w:t xml:space="preserve">Optymalne właściwości dla wrzecion szlifierskich</w:t>
      </w:r>
    </w:p>
    <w:p>
      <w:pPr>
        <w:spacing w:before="240"/>
      </w:pPr>
    </w:p>
    <w:p>
      <w:pPr>
        <w:pStyle w:val="Heading2"/>
      </w:pPr>
      <w:r>
        <w:t xml:space="preserve">3.2 Elementy Konstrukcyjne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Łożyska przednie: </w:t>
      </w:r>
      <w:r>
        <w:t xml:space="preserve">Para łożysk skośnych back-to-back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Dystans wewnętrzny: </w:t>
      </w:r>
      <w:r>
        <w:t xml:space="preserve">Między pierścieniami wewnętrznymi łożysk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Dystans zewnętrzny: </w:t>
      </w:r>
      <w:r>
        <w:t xml:space="preserve">Między pierścieniami zewnętrznymi łożysk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Sprężyny Belleville: </w:t>
      </w:r>
      <w:r>
        <w:t xml:space="preserve">Kompensacja rozszerzalności cieplnej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Nakrętka z kontrnakrętką: </w:t>
      </w:r>
      <w:r>
        <w:t xml:space="preserve">Regulacja napięcia wstępnego</w:t>
      </w:r>
    </w:p>
    <w:p>
      <w:pPr>
        <w:spacing w:before="360"/>
      </w:pPr>
    </w:p>
    <w:p>
      <w:pPr>
        <w:pStyle w:val="Warning"/>
      </w:pPr>
      <w:r>
        <w:t xml:space="preserve">⚠️ KRYTYCZNE: Dystanse wewnętrzny i zewnętrzny MUSZĄ być tej samej długości (tolerancja ±0.01mm)!</w:t>
      </w:r>
    </w:p>
    <w:p>
      <w:pPr>
        <w:spacing w:before="240"/>
      </w:pPr>
    </w:p>
    <w:p>
      <w:pPr>
        <w:pStyle w:val="Heading2"/>
      </w:pPr>
      <w:r>
        <w:t xml:space="preserve">3.3 Procedura Kasowania Luzu</w:t>
      </w:r>
    </w:p>
    <w:p>
      <w:pPr>
        <w:pStyle w:val="Heading3"/>
      </w:pPr>
      <w:r>
        <w:t xml:space="preserve">Narzędzia potrzebne:</w:t>
      </w:r>
    </w:p>
    <w:p>
      <w:pPr>
        <w:pStyle w:val="ListParagraph"/>
        <w:numPr>
          <w:ilvl w:val="0"/>
          <w:numId w:val="2"/>
        </w:numPr>
      </w:pPr>
      <w:r>
        <w:t xml:space="preserve">Klucz hakowy do nakrętki wrzeciona</w:t>
      </w:r>
    </w:p>
    <w:p>
      <w:pPr>
        <w:pStyle w:val="ListParagraph"/>
        <w:numPr>
          <w:ilvl w:val="0"/>
          <w:numId w:val="2"/>
        </w:numPr>
      </w:pPr>
      <w:r>
        <w:t xml:space="preserve">Czujnik zegarowy (dokładność 0.001mm)</w:t>
      </w:r>
    </w:p>
    <w:p>
      <w:pPr>
        <w:pStyle w:val="ListParagraph"/>
        <w:numPr>
          <w:ilvl w:val="0"/>
          <w:numId w:val="2"/>
        </w:numPr>
      </w:pPr>
      <w:r>
        <w:t xml:space="preserve">Klucz dynamometryczny (opcjonalnie)</w:t>
      </w:r>
    </w:p>
    <w:p>
      <w:pPr>
        <w:pStyle w:val="ListParagraph"/>
        <w:numPr>
          <w:ilvl w:val="0"/>
          <w:numId w:val="2"/>
        </w:numPr>
      </w:pPr>
      <w:r>
        <w:t xml:space="preserve">Czysty olej ISO VG 68</w:t>
      </w:r>
    </w:p>
    <w:p>
      <w:pPr>
        <w:pStyle w:val="ListParagraph"/>
        <w:numPr>
          <w:ilvl w:val="0"/>
          <w:numId w:val="2"/>
        </w:numPr>
      </w:pPr>
      <w:r>
        <w:t xml:space="preserve">Benzyna ekstrakcyjna do czyszczenia</w:t>
      </w:r>
    </w:p>
    <w:p>
      <w:pPr>
        <w:spacing w:before="240"/>
      </w:pPr>
    </w:p>
    <w:p>
      <w:pPr>
        <w:pStyle w:val="Heading3"/>
      </w:pPr>
      <w:r>
        <w:t xml:space="preserve">Krok po kroku: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Przygotowanie</w:t>
      </w:r>
    </w:p>
    <w:p>
      <w:pPr>
        <w:spacing left="1080"/>
      </w:pPr>
      <w:r>
        <w:t xml:space="preserve">Wyłącz maszynę i odłącz zasilanie. Zdejmij tarczę ścierną. Oczyść wrzeciono i obudowę z brudu i oleju.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Sprawdzenie aktualnego luzu</w:t>
      </w:r>
    </w:p>
    <w:p>
      <w:pPr>
        <w:spacing left="1080"/>
      </w:pPr>
      <w:r>
        <w:t xml:space="preserve">Zamontuj czujnik zegarowy na obudowie, końcówkę czujnika ustaw na czole wrzeciona. Pociągnij i pchnij wrzeciono w osi. Odczytana wartość to luz osiowy (powinien wynosić ZERO).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Regulacja (jeśli występuje luz)</w:t>
      </w:r>
    </w:p>
    <w:p>
      <w:pPr>
        <w:spacing left="1080"/>
      </w:pPr>
      <w:r>
        <w:t xml:space="preserve">a) Poluzuj kontrnakrętkę</w:t>
      </w:r>
    </w:p>
    <w:p>
      <w:pPr>
        <w:spacing left="1080"/>
      </w:pPr>
      <w:r>
        <w:t xml:space="preserve">b) Dokręć nakrętkę główną o 1/4 obrotu</w:t>
      </w:r>
    </w:p>
    <w:p>
      <w:pPr>
        <w:spacing left="1080"/>
      </w:pPr>
      <w:r>
        <w:t xml:space="preserve">c) Obróć wrzeciono ręcznie (sprawdź opór)</w:t>
      </w:r>
    </w:p>
    <w:p>
      <w:pPr>
        <w:spacing left="1080"/>
      </w:pPr>
      <w:r>
        <w:t xml:space="preserve">d) Sprawdź luz czujnikiem</w:t>
      </w:r>
    </w:p>
    <w:p>
      <w:pPr>
        <w:spacing left="1080"/>
      </w:pPr>
      <w:r>
        <w:t xml:space="preserve">e) Powtarzaj kroki b-d aż luz = 0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Sprawdzenie napięcia wstępnego (preload)</w:t>
      </w:r>
    </w:p>
    <w:p>
      <w:pPr>
        <w:spacing left="1080"/>
      </w:pPr>
      <w:r>
        <w:t xml:space="preserve">Wrzeciono powinno obracać się ręcznie z niewielkim oporem, bez luzu osiowego i promieniowego, ale bez zacinania się.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Test cieplny</w:t>
      </w:r>
    </w:p>
    <w:p>
      <w:pPr>
        <w:spacing left="1080"/>
      </w:pPr>
      <w:r>
        <w:t xml:space="preserve">Uruchom szlifierkę bez obciążenia na niskiej prędkości (1400 obr/min). Pracuj 30 minut. Zmierz temperaturę łożysk - powinna wynosić max 60-70°C. Jeśli przekracza 80°C, preload jest za duży - należy poluzować.</w:t>
      </w:r>
    </w:p>
    <w:p>
      <w:r>
        <w:br w:type="page"/>
      </w:r>
    </w:p>
    <w:p>
      <w:pPr>
        <w:pStyle w:val="Heading1"/>
      </w:pPr>
      <w:r>
        <w:t xml:space="preserve">4. SYMPTOMY PROBLEMÓW</w:t>
      </w:r>
    </w:p>
    <w:p>
      <w:pPr>
        <w:pStyle w:val="Heading2"/>
      </w:pPr>
      <w:r>
        <w:t xml:space="preserve">4.1 Za Duży Luz</w:t>
      </w:r>
    </w:p>
    <w:p>
      <w:pPr>
        <w:pStyle w:val="ListParagraph"/>
        <w:numPr>
          <w:ilvl w:val="0"/>
          <w:numId w:val="5"/>
        </w:numPr>
      </w:pPr>
      <w:r>
        <w:t xml:space="preserve">Wibracje podczas pracy</w:t>
      </w:r>
    </w:p>
    <w:p>
      <w:pPr>
        <w:pStyle w:val="ListParagraph"/>
        <w:numPr>
          <w:ilvl w:val="0"/>
          <w:numId w:val="5"/>
        </w:numPr>
      </w:pPr>
      <w:r>
        <w:t xml:space="preserve">Zmienny dźwięk wrzeciona</w:t>
      </w:r>
    </w:p>
    <w:p>
      <w:pPr>
        <w:pStyle w:val="ListParagraph"/>
        <w:numPr>
          <w:ilvl w:val="0"/>
          <w:numId w:val="5"/>
        </w:numPr>
      </w:pPr>
      <w:r>
        <w:t xml:space="preserve">Nieregularne wyniki szlifowania</w:t>
      </w:r>
    </w:p>
    <w:p>
      <w:pPr>
        <w:pStyle w:val="ListParagraph"/>
        <w:numPr>
          <w:ilvl w:val="0"/>
          <w:numId w:val="5"/>
        </w:numPr>
      </w:pPr>
      <w:r>
        <w:t xml:space="preserve">'Klekot' przy zatrzymaniu</w:t>
      </w:r>
    </w:p>
    <w:p>
      <w:pPr>
        <w:spacing w:before="240"/>
      </w:pPr>
    </w:p>
    <w:p>
      <w:pPr>
        <w:pStyle w:val="Heading2"/>
      </w:pPr>
      <w:r>
        <w:t xml:space="preserve">4.2 Za Duży Preload</w:t>
      </w:r>
    </w:p>
    <w:p>
      <w:pPr>
        <w:pStyle w:val="ListParagraph"/>
        <w:numPr>
          <w:ilvl w:val="0"/>
          <w:numId w:val="5"/>
        </w:numPr>
      </w:pPr>
      <w:r>
        <w:t xml:space="preserve">Przegrzewanie łożysk (&gt;80°C)</w:t>
      </w:r>
    </w:p>
    <w:p>
      <w:pPr>
        <w:pStyle w:val="ListParagraph"/>
        <w:numPr>
          <w:ilvl w:val="0"/>
          <w:numId w:val="5"/>
        </w:numPr>
      </w:pPr>
      <w:r>
        <w:t xml:space="preserve">Wrzeciono ciężko się obraca</w:t>
      </w:r>
    </w:p>
    <w:p>
      <w:pPr>
        <w:pStyle w:val="ListParagraph"/>
        <w:numPr>
          <w:ilvl w:val="0"/>
          <w:numId w:val="5"/>
        </w:numPr>
      </w:pPr>
      <w:r>
        <w:t xml:space="preserve">Szybkie zużycie łożysk</w:t>
      </w:r>
    </w:p>
    <w:p>
      <w:pPr>
        <w:pStyle w:val="ListParagraph"/>
        <w:numPr>
          <w:ilvl w:val="0"/>
          <w:numId w:val="5"/>
        </w:numPr>
      </w:pPr>
      <w:r>
        <w:t xml:space="preserve">Zwiększony pobór prądu</w:t>
      </w:r>
    </w:p>
    <w:p>
      <w:pPr>
        <w:spacing w:before="240"/>
      </w:pPr>
    </w:p>
    <w:p>
      <w:pPr>
        <w:pStyle w:val="Heading2"/>
      </w:pPr>
      <w:r>
        <w:t xml:space="preserve">4.3 Prawidłowe Ustawienie</w:t>
      </w:r>
    </w:p>
    <w:p>
      <w:pPr>
        <w:pStyle w:val="ListParagraph"/>
        <w:numPr>
          <w:ilvl w:val="0"/>
          <w:numId w:val="3"/>
        </w:numPr>
      </w:pPr>
      <w:r>
        <w:t xml:space="preserve">Wrzeciono obraca się płynnie</w:t>
      </w:r>
    </w:p>
    <w:p>
      <w:pPr>
        <w:pStyle w:val="ListParagraph"/>
        <w:numPr>
          <w:ilvl w:val="0"/>
          <w:numId w:val="3"/>
        </w:numPr>
      </w:pPr>
      <w:r>
        <w:t xml:space="preserve">Temperatura łożysk 50-60°C</w:t>
      </w:r>
    </w:p>
    <w:p>
      <w:pPr>
        <w:pStyle w:val="ListParagraph"/>
        <w:numPr>
          <w:ilvl w:val="0"/>
          <w:numId w:val="3"/>
        </w:numPr>
      </w:pPr>
      <w:r>
        <w:t xml:space="preserve">Brak luzu (0.000mm)</w:t>
      </w:r>
    </w:p>
    <w:p>
      <w:pPr>
        <w:pStyle w:val="ListParagraph"/>
        <w:numPr>
          <w:ilvl w:val="0"/>
          <w:numId w:val="3"/>
        </w:numPr>
      </w:pPr>
      <w:r>
        <w:t xml:space="preserve">Ciche, równomierne działanie</w:t>
      </w:r>
    </w:p>
    <w:p>
      <w:r>
        <w:br w:type="page"/>
      </w:r>
    </w:p>
    <w:p>
      <w:pPr>
        <w:pStyle w:val="Heading1"/>
      </w:pPr>
      <w:r>
        <w:t xml:space="preserve">5. HARMONOGRAM SMAROWANIA I KONSERWACJI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CellMar>
          <w:top w:type="dxa" w:w="100"/>
          <w:left w:type="dxa" w:w="180"/>
          <w:bottom w:type="dxa" w:w="100"/>
          <w:right w:type="dxa" w:w="180"/>
        </w:tblCellMar>
      </w:tblPr>
      <w:tblGrid>
        <w:gridCol w:w="2340"/>
        <w:gridCol w:w="7020"/>
      </w:tblGrid>
      <w:tr>
        <w:trPr>
          <w:tblHeader/>
        </w:trPr>
        <w:tc>
          <w:tcPr>
            <w:tcW w:type="dxa" w:w="23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4E78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Częstotliwość</w:t>
            </w:r>
          </w:p>
        </w:tc>
        <w:tc>
          <w:tcPr>
            <w:tcW w:type="dxa" w:w="70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1F4E78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Czynności</w:t>
            </w:r>
          </w:p>
        </w:tc>
      </w:tr>
      <w:tr>
        <w:tc>
          <w:tcPr>
            <w:tcW w:type="dxa" w:w="23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7E6E6" w:val="clear"/>
          </w:tcPr>
          <w:p>
            <w:r>
              <w:rPr>
                <w:b/>
                <w:bCs/>
              </w:rPr>
              <w:t xml:space="preserve">CODZIENNIE</w:t>
            </w:r>
          </w:p>
        </w:tc>
        <w:tc>
          <w:tcPr>
            <w:tcW w:type="dxa" w:w="70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• Sprawdź poziom oleju w olejarkach</w:t>
            </w:r>
          </w:p>
          <w:p>
            <w:r>
              <w:t xml:space="preserve">• Uzupełnij olej do 3/4 poziomu</w:t>
            </w:r>
          </w:p>
          <w:p>
            <w:r>
              <w:t xml:space="preserve">• Sprawdź czy olej kropluje (1-3 krople/min)</w:t>
            </w:r>
          </w:p>
        </w:tc>
      </w:tr>
      <w:tr>
        <w:tc>
          <w:tcPr>
            <w:tcW w:type="dxa" w:w="23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7E6E6" w:val="clear"/>
          </w:tcPr>
          <w:p>
            <w:r>
              <w:rPr>
                <w:b/>
                <w:bCs/>
              </w:rPr>
              <w:t xml:space="preserve">TYGODNIOWO</w:t>
            </w:r>
          </w:p>
        </w:tc>
        <w:tc>
          <w:tcPr>
            <w:tcW w:type="dxa" w:w="70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• Sprawdź intensywność kroplowania oleju</w:t>
            </w:r>
          </w:p>
          <w:p>
            <w:r>
              <w:t xml:space="preserve">• Sprawdź czy olej dociera do łożysk</w:t>
            </w:r>
          </w:p>
          <w:p>
            <w:r>
              <w:t xml:space="preserve">• Oczyść zewnętrzne powierzchnie wrzeciona</w:t>
            </w:r>
          </w:p>
        </w:tc>
      </w:tr>
      <w:tr>
        <w:tc>
          <w:tcPr>
            <w:tcW w:type="dxa" w:w="23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7E6E6" w:val="clear"/>
          </w:tcPr>
          <w:p>
            <w:r>
              <w:rPr>
                <w:b/>
                <w:bCs/>
              </w:rPr>
              <w:t xml:space="preserve">MIESIĘCZNIE</w:t>
            </w:r>
          </w:p>
        </w:tc>
        <w:tc>
          <w:tcPr>
            <w:tcW w:type="dxa" w:w="70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• Wymień olej w olejarkach</w:t>
            </w:r>
          </w:p>
          <w:p>
            <w:r>
              <w:t xml:space="preserve">• Oczyść filtry oleju (jeśli występują)</w:t>
            </w:r>
          </w:p>
          <w:p>
            <w:r>
              <w:t xml:space="preserve">• Sprawdź temperaturę pracy łożysk</w:t>
            </w:r>
          </w:p>
        </w:tc>
      </w:tr>
      <w:tr>
        <w:tc>
          <w:tcPr>
            <w:tcW w:type="dxa" w:w="23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7E6E6" w:val="clear"/>
          </w:tcPr>
          <w:p>
            <w:r>
              <w:rPr>
                <w:b/>
                <w:bCs/>
              </w:rPr>
              <w:t xml:space="preserve">PÓŁROCZNIE</w:t>
            </w:r>
          </w:p>
        </w:tc>
        <w:tc>
          <w:tcPr>
            <w:tcW w:type="dxa" w:w="70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• Sprawdź luz łożysk czujnikiem zegarowym</w:t>
            </w:r>
          </w:p>
          <w:p>
            <w:r>
              <w:t xml:space="preserve">• Wymień olej w układzie hydraulicznym</w:t>
            </w:r>
          </w:p>
          <w:p>
            <w:r>
              <w:t xml:space="preserve">• Sprawdź stan nakrętek regulacyjnych</w:t>
            </w:r>
          </w:p>
        </w:tc>
      </w:tr>
      <w:tr>
        <w:tc>
          <w:tcPr>
            <w:tcW w:type="dxa" w:w="234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  <w:shd w:fill="E7E6E6" w:val="clear"/>
          </w:tcPr>
          <w:p>
            <w:r>
              <w:rPr>
                <w:b/>
                <w:bCs/>
              </w:rPr>
              <w:t xml:space="preserve">ROCZNIE</w:t>
            </w:r>
          </w:p>
        </w:tc>
        <w:tc>
          <w:tcPr>
            <w:tcW w:type="dxa" w:w="7020"/>
            <w:tcBorders>
              <w:top w:val="single" w:color="999999" w:sz="1"/>
              <w:left w:val="single" w:color="999999" w:sz="1"/>
              <w:bottom w:val="single" w:color="999999" w:sz="1"/>
              <w:right w:val="single" w:color="999999" w:sz="1"/>
            </w:tcBorders>
          </w:tcPr>
          <w:p>
            <w:r>
              <w:t xml:space="preserve">• Demontaż i czyszczenie łożysk</w:t>
            </w:r>
          </w:p>
          <w:p>
            <w:r>
              <w:t xml:space="preserve">• Sprawdzenie dystansów (długość i równoległość)</w:t>
            </w:r>
          </w:p>
          <w:p>
            <w:r>
              <w:t xml:space="preserve">• Wymiana smaru lub łożysk w razie potrzeby</w:t>
            </w:r>
          </w:p>
          <w:p>
            <w:r>
              <w:t xml:space="preserve">• Pełna regulacja napięcia wstępnego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6. UWAGI KRYTYCZNE</w:t>
      </w:r>
    </w:p>
    <w:p>
      <w:pPr>
        <w:pStyle w:val="Warning"/>
      </w:pPr>
      <w:r>
        <w:t xml:space="preserve">⚠️ BEZWZGLĘDNIE PRZESTRZEGAJ:</w:t>
      </w:r>
    </w:p>
    <w:p>
      <w:pPr>
        <w:spacing w:before="120"/>
      </w:pP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DYSTANSE MUSZĄ BYĆ TEJ SAMEJ DŁUGOŚCI</w:t>
      </w:r>
    </w:p>
    <w:p>
      <w:pPr>
        <w:spacing left="1080"/>
      </w:pPr>
      <w:r>
        <w:t xml:space="preserve">Tolerancja: ±0.01mm. Dystanse nierównej długości powodują nieprawidłowe napięcie wstępne i przyspieszone zużycie łożysk.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DYSTANSE MUSZĄ BYĆ PROSTOPADŁE I RÓWNOLEGŁE</w:t>
      </w:r>
    </w:p>
    <w:p>
      <w:pPr>
        <w:spacing left="1080"/>
      </w:pPr>
      <w:r>
        <w:t xml:space="preserve">Skośne dystanse powodują nierównomierne obciążenie łożysk i mogą prowadzić do deformacji pierścieni.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NIGDY NIE UDERZAJ MŁOTKIEM</w:t>
      </w:r>
    </w:p>
    <w:p>
      <w:pPr>
        <w:spacing left="1080"/>
      </w:pPr>
      <w:r>
        <w:t xml:space="preserve">Montaż łożysk tylko przez podgrzewanie (max 120°C) lub prasowanie z odpowiednimi tulejami oporowymi.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TYLKO CZYSTY OLEJ</w:t>
      </w:r>
    </w:p>
    <w:p>
      <w:pPr>
        <w:spacing left="1080"/>
      </w:pPr>
      <w:r>
        <w:t xml:space="preserve">Brudny olej lub zanieczyszczenia niszczą łożyska w bardzo krótkim czasie. Zawsze filtruj olej przed użyciem.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STOPNIOWA REGULACJA</w:t>
      </w:r>
    </w:p>
    <w:p>
      <w:pPr>
        <w:spacing left="1080"/>
      </w:pPr>
      <w:r>
        <w:t xml:space="preserve">Dokręcaj nakrętkę po 1/4 obrotu, nigdy więcej. Sprawdzaj luz i opór po każdej zmianie.</w:t>
      </w:r>
    </w:p>
    <w:p>
      <w:pPr>
        <w:pStyle w:val="ListParagraph"/>
        <w:numPr>
          <w:ilvl w:val="0"/>
          <w:numId w:val="4"/>
        </w:numPr>
      </w:pPr>
      <w:r>
        <w:rPr>
          <w:b/>
          <w:bCs/>
        </w:rPr>
        <w:t xml:space="preserve">TEST CIEPLNY OBOWIĄZKOWY</w:t>
      </w:r>
    </w:p>
    <w:p>
      <w:pPr>
        <w:spacing left="1080"/>
      </w:pPr>
      <w:r>
        <w:t xml:space="preserve">Po każdej regulacji przeprowadź 30-minutowy test na niskich obrotach i zmierz temperaturę łożysk.</w:t>
      </w:r>
    </w:p>
    <w:p>
      <w:pPr>
        <w:spacing w:before="360"/>
      </w:pPr>
    </w:p>
    <w:p>
      <w:pPr>
        <w:pStyle w:val="Note"/>
      </w:pPr>
      <w:r>
        <w:t xml:space="preserve">💡 UWAGA: Maszyny z lat 60-tych często mają zużyte dystanse. Przed regulacją sprawdź ich stan i wymień jeśli to konieczne.</w:t>
      </w:r>
    </w:p>
    <w:p>
      <w:r>
        <w:br w:type="page"/>
      </w:r>
    </w:p>
    <w:p>
      <w:pPr>
        <w:pStyle w:val="Heading1"/>
      </w:pPr>
      <w:r>
        <w:t xml:space="preserve">7. ŹRÓDŁA DOKUMENTACJI I POMOCY</w:t>
      </w:r>
    </w:p>
    <w:p>
      <w:pPr>
        <w:pStyle w:val="Heading2"/>
      </w:pPr>
      <w:r>
        <w:t xml:space="preserve">7.1 Dokumentacja Techniczna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Amazon: </w:t>
      </w:r>
      <w:r>
        <w:t xml:space="preserve">Kopia instrukcji z 1964 roku - 'Blohm Precision Surface Grinding Machine Simplex 7 Operating Instructions'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IndustryArena.com: </w:t>
      </w:r>
      <w:r>
        <w:t xml:space="preserve">Forum wymiany dokumentacji technicznej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Grupy Facebook: </w:t>
      </w:r>
      <w:r>
        <w:t xml:space="preserve">'Vintage Grinding Machines', 'Machine Tool Restoration'</w:t>
      </w:r>
    </w:p>
    <w:p>
      <w:pPr>
        <w:spacing w:before="240"/>
      </w:pPr>
    </w:p>
    <w:p>
      <w:pPr>
        <w:pStyle w:val="Heading2"/>
      </w:pPr>
      <w:r>
        <w:t xml:space="preserve">7.2 Serwis i Wsparcie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United Grinding Group: </w:t>
      </w:r>
      <w:r>
        <w:t xml:space="preserve">Właściciel marki Blohm - www.grinding.com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Northland Tool &amp; Electronics: </w:t>
      </w:r>
      <w:r>
        <w:t xml:space="preserve">Specjalizowany serwis wrzecion Blohm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GTI Spindle: </w:t>
      </w:r>
      <w:r>
        <w:t xml:space="preserve">Naprawa i regeneracja wrzecion szlifierek Blohm</w:t>
      </w:r>
    </w:p>
    <w:p>
      <w:pPr>
        <w:spacing w:before="360"/>
      </w:pPr>
    </w:p>
    <w:p>
      <w:pPr>
        <w:pBdr>
          <w:top w:val="single" w:color="1F4E78" w:sz="6"/>
        </w:pBdr>
        <w:spacing w:before="480"/>
      </w:pPr>
    </w:p>
    <w:p>
      <w:pPr>
        <w:spacing w:before="240"/>
        <w:jc w:val="center"/>
      </w:pPr>
      <w:r>
        <w:rPr>
          <w:i/>
          <w:iCs/>
          <w:color w:val="666666"/>
          <w:sz w:val="20"/>
          <w:szCs w:val="20"/>
        </w:rPr>
        <w:t xml:space="preserve">Dokument przygotowany dla warsztatów CNC</w:t>
      </w:r>
    </w:p>
    <w:p>
      <w:pPr>
        <w:jc w:val="center"/>
      </w:pPr>
      <w:r>
        <w:rPr>
          <w:i/>
          <w:iCs/>
          <w:color w:val="666666"/>
          <w:sz w:val="20"/>
          <w:szCs w:val="20"/>
        </w:rPr>
        <w:t xml:space="preserve">Wersja 1.0 - Styczeń 2026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abstractNum w:abstractNumId="4" w15:restartNumberingAfterBreak="0">
    <w:multiLevelType w:val="hybridMultilevel"/>
    <w:lvl w:ilvl="0" w15:tentative="1">
      <w:start w:val="1"/>
      <w:numFmt w:val="bullet"/>
      <w:lvlText w:val="✓"/>
      <w:lvlJc w:val="left"/>
      <w:pPr>
        <w:ind w:left="720" w:hanging="360"/>
      </w:pPr>
    </w:lvl>
  </w:abstractNum>
  <w:abstractNum w:abstractNumId="5" w15:restartNumberingAfterBreak="0">
    <w:multiLevelType w:val="hybridMultilevel"/>
    <w:lvl w:ilvl="0" w15:tentative="1">
      <w:start w:val="1"/>
      <w:numFmt w:val="bullet"/>
      <w:lvlText w:val="✗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5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before="240" w:after="240"/>
      <w:jc w:val="center"/>
    </w:pPr>
    <w:rPr>
      <w:rFonts w:ascii="Arial" w:cs="Arial" w:eastAsia="Arial" w:hAnsi="Arial"/>
      <w:b/>
      <w:bCs/>
      <w:color w:val="1F4E78"/>
      <w:sz w:val="48"/>
      <w:szCs w:val="48"/>
    </w:rPr>
  </w:style>
  <w:style w:type="paragraph" w:styleId="Heading1">
    <w:name w:val="Heading 1"/>
    <w:basedOn w:val="Normal"/>
    <w:next w:val="Normal"/>
    <w:qFormat/>
    <w:pPr>
      <w:spacing w:before="360" w:after="180"/>
      <w:outlineLvl w:val="0"/>
    </w:pPr>
    <w:rPr>
      <w:rFonts w:ascii="Arial" w:cs="Arial" w:eastAsia="Arial" w:hAnsi="Arial"/>
      <w:b/>
      <w:bCs/>
      <w:color w:val="1F4E78"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280" w:after="140"/>
      <w:outlineLvl w:val="1"/>
    </w:pPr>
    <w:rPr>
      <w:rFonts w:ascii="Arial" w:cs="Arial" w:eastAsia="Arial" w:hAnsi="Arial"/>
      <w:b/>
      <w:bCs/>
      <w:color w:val="2E5C8A"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  <w:outlineLvl w:val="2"/>
    </w:pPr>
    <w:rPr>
      <w:rFonts w:ascii="Arial" w:cs="Arial" w:eastAsia="Arial" w:hAnsi="Arial"/>
      <w:b/>
      <w:bCs/>
      <w:color w:val="2E5C8A"/>
      <w:sz w:val="24"/>
      <w:szCs w:val="24"/>
    </w:rPr>
  </w:style>
  <w:style w:type="paragraph" w:styleId="Warning">
    <w:name w:val="Warning"/>
    <w:basedOn w:val="Normal"/>
    <w:pPr>
      <w:spacing w:before="120" w:after="120"/>
    </w:pPr>
    <w:rPr>
      <w:rFonts w:ascii="Arial" w:cs="Arial" w:eastAsia="Arial" w:hAnsi="Arial"/>
      <w:b/>
      <w:bCs/>
      <w:color w:val="C00000"/>
      <w:sz w:val="22"/>
      <w:szCs w:val="22"/>
    </w:rPr>
  </w:style>
  <w:style w:type="paragraph" w:styleId="Note">
    <w:name w:val="Note"/>
    <w:basedOn w:val="Normal"/>
    <w:pPr>
      <w:spacing w:before="100" w:after="100"/>
    </w:pPr>
    <w:rPr>
      <w:rFonts w:ascii="Arial" w:cs="Arial" w:eastAsia="Arial" w:hAnsi="Arial"/>
      <w:color w:val="0070C0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2026-01-04T20:20:30.211Z</dcterms:created>
  <dcterms:modified xsi:type="dcterms:W3CDTF">2026-01-04T20:20:30.212Z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